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46" w:rsidRPr="00D21A46" w:rsidRDefault="00D21A46" w:rsidP="00D21A46">
      <w:pPr>
        <w:shd w:val="clear" w:color="auto" w:fill="FFFFFF"/>
        <w:spacing w:after="0" w:line="240" w:lineRule="auto"/>
        <w:jc w:val="center"/>
        <w:rPr>
          <w:rFonts w:ascii="Tahoma" w:eastAsia="Times New Roman" w:hAnsi="Tahoma" w:cs="Tahoma"/>
          <w:color w:val="211E1F"/>
          <w:sz w:val="21"/>
          <w:szCs w:val="21"/>
          <w:lang w:eastAsia="fr-FR"/>
        </w:rPr>
      </w:pPr>
      <w:r w:rsidRPr="00D21A46">
        <w:rPr>
          <w:rFonts w:ascii="Tahoma" w:eastAsia="Times New Roman" w:hAnsi="Tahoma" w:cs="Tahoma"/>
          <w:noProof/>
          <w:color w:val="211E1F"/>
          <w:sz w:val="21"/>
          <w:szCs w:val="21"/>
          <w:lang w:eastAsia="fr-FR"/>
        </w:rPr>
        <w:drawing>
          <wp:inline distT="0" distB="0" distL="0" distR="0">
            <wp:extent cx="1333500" cy="781050"/>
            <wp:effectExtent l="0" t="0" r="0" b="0"/>
            <wp:docPr id="2" name="Image 2" descr="Conseil du Dialogue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du Dialogue So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inline>
        </w:drawing>
      </w:r>
    </w:p>
    <w:p w:rsidR="00D21A46" w:rsidRPr="00D21A46" w:rsidRDefault="00D21A46" w:rsidP="00D21A46">
      <w:pPr>
        <w:shd w:val="clear" w:color="auto" w:fill="FFFFFF"/>
        <w:spacing w:after="0" w:line="240" w:lineRule="auto"/>
        <w:jc w:val="center"/>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 </w:t>
      </w:r>
      <w:r w:rsidRPr="00D21A46">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Pol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og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21A46" w:rsidRPr="00D21A46" w:rsidRDefault="00D21A46" w:rsidP="00D21A46">
      <w:pPr>
        <w:shd w:val="clear" w:color="auto" w:fill="FFFFFF"/>
        <w:spacing w:after="150" w:line="240" w:lineRule="auto"/>
        <w:jc w:val="center"/>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Pologne</w:t>
      </w:r>
    </w:p>
    <w:p w:rsidR="00D21A46" w:rsidRPr="00D21A46" w:rsidRDefault="00D21A46" w:rsidP="00D21A46">
      <w:pPr>
        <w:shd w:val="clear" w:color="auto" w:fill="FFFFFF"/>
        <w:spacing w:after="0" w:line="240" w:lineRule="auto"/>
        <w:jc w:val="center"/>
        <w:rPr>
          <w:rFonts w:ascii="Tahoma" w:eastAsia="Times New Roman" w:hAnsi="Tahoma" w:cs="Tahoma"/>
          <w:color w:val="211E1F"/>
          <w:sz w:val="18"/>
          <w:szCs w:val="18"/>
          <w:lang w:eastAsia="fr-FR"/>
        </w:rPr>
      </w:pPr>
      <w:r w:rsidRPr="00D21A46">
        <w:rPr>
          <w:rFonts w:ascii="Tahoma" w:eastAsia="Times New Roman" w:hAnsi="Tahoma" w:cs="Tahoma"/>
          <w:color w:val="929598"/>
          <w:sz w:val="18"/>
          <w:szCs w:val="18"/>
          <w:lang w:eastAsia="fr-FR"/>
        </w:rPr>
        <w:t>Date d'entrée: </w:t>
      </w:r>
      <w:r w:rsidRPr="00D21A46">
        <w:rPr>
          <w:rFonts w:ascii="Tahoma" w:eastAsia="Times New Roman" w:hAnsi="Tahoma" w:cs="Tahoma"/>
          <w:color w:val="211E1F"/>
          <w:sz w:val="18"/>
          <w:szCs w:val="18"/>
          <w:lang w:eastAsia="fr-FR"/>
        </w:rPr>
        <w:t>July 11, 2000</w:t>
      </w:r>
    </w:p>
    <w:p w:rsidR="00D21A46" w:rsidRPr="00D21A46" w:rsidRDefault="00D21A46" w:rsidP="00D21A46">
      <w:pPr>
        <w:shd w:val="clear" w:color="auto" w:fill="FFFFFF"/>
        <w:spacing w:after="150" w:line="240" w:lineRule="auto"/>
        <w:jc w:val="center"/>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Membre de l'AICESIS</w:t>
      </w:r>
    </w:p>
    <w:p w:rsidR="00D21A46" w:rsidRPr="00D21A46" w:rsidRDefault="00D21A46" w:rsidP="00D21A46">
      <w:pPr>
        <w:shd w:val="clear" w:color="auto" w:fill="FFFFFF"/>
        <w:spacing w:after="150" w:line="240" w:lineRule="auto"/>
        <w:jc w:val="center"/>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Membre de l'ILO</w:t>
      </w:r>
    </w:p>
    <w:p w:rsidR="00D21A46" w:rsidRPr="00D21A46" w:rsidRDefault="00D21A46" w:rsidP="00D21A46">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D21A46">
        <w:rPr>
          <w:rFonts w:ascii="Tahoma" w:eastAsia="Times New Roman" w:hAnsi="Tahoma" w:cs="Tahoma"/>
          <w:b/>
          <w:bCs/>
          <w:color w:val="59595B"/>
          <w:sz w:val="30"/>
          <w:szCs w:val="30"/>
          <w:lang w:eastAsia="fr-FR"/>
        </w:rPr>
        <w:t>Conseil du Dialogue Social</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 </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 </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On 31 October 2005 the Council of Ministers was formed </w:t>
      </w:r>
      <w:r w:rsidRPr="00D21A46">
        <w:rPr>
          <w:rFonts w:ascii="Tahoma" w:eastAsia="Times New Roman" w:hAnsi="Tahoma" w:cs="Tahoma"/>
          <w:b/>
          <w:bCs/>
          <w:color w:val="211E1F"/>
          <w:sz w:val="21"/>
          <w:szCs w:val="21"/>
          <w:lang w:eastAsia="fr-FR"/>
        </w:rPr>
        <w:t>Ministry of Labour and Social Policy</w:t>
      </w:r>
      <w:r w:rsidRPr="00D21A46">
        <w:rPr>
          <w:rFonts w:ascii="Tahoma" w:eastAsia="Times New Roman" w:hAnsi="Tahoma" w:cs="Tahoma"/>
          <w:color w:val="211E1F"/>
          <w:sz w:val="21"/>
          <w:szCs w:val="21"/>
          <w:lang w:eastAsia="fr-FR"/>
        </w:rPr>
        <w:t> by the transformation of the Ministry of Social Policy. The transformation was to turn to the Ministry of Social Policy of organizational affairs department serving "work".</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The Ministry of Labour and Social Policy includes organizational support case with the department of government "social security", "work" and "family affairs"</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 </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Establishment</w:t>
      </w:r>
    </w:p>
    <w:p w:rsidR="00D21A46" w:rsidRPr="00D21A46" w:rsidRDefault="00D21A46" w:rsidP="00D21A46">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Date of creation </w:t>
      </w:r>
      <w:r w:rsidRPr="00D21A46">
        <w:rPr>
          <w:rFonts w:ascii="Tahoma" w:eastAsia="Times New Roman" w:hAnsi="Tahoma" w:cs="Tahoma"/>
          <w:color w:val="211E1F"/>
          <w:sz w:val="21"/>
          <w:szCs w:val="21"/>
          <w:lang w:eastAsia="fr-FR"/>
        </w:rPr>
        <w:t>February 15th, 1994</w:t>
      </w:r>
    </w:p>
    <w:p w:rsidR="00D21A46" w:rsidRPr="00D21A46" w:rsidRDefault="00D21A46" w:rsidP="00D21A46">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Year operational</w:t>
      </w:r>
    </w:p>
    <w:p w:rsidR="00D21A46" w:rsidRPr="00D21A46" w:rsidRDefault="00D21A46" w:rsidP="00D21A46">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Nature of the texts that create the ESC (Constitution, law, decree, etc.)</w:t>
      </w:r>
      <w:r w:rsidRPr="00D21A46">
        <w:rPr>
          <w:rFonts w:ascii="Tahoma" w:eastAsia="Times New Roman" w:hAnsi="Tahoma" w:cs="Tahoma"/>
          <w:color w:val="211E1F"/>
          <w:sz w:val="21"/>
          <w:szCs w:val="21"/>
          <w:lang w:eastAsia="fr-FR"/>
        </w:rPr>
        <w:t> resolution n° 7/94 of the Council of Ministers; act of 6 July, 2001 on Tripartite Commission for Social and Economic Affairs and Voivodeship Commissions for Social Dialogue (Journal of Laws No. 1000, item 1080 of 18 September, 2001)</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Composition</w:t>
      </w:r>
    </w:p>
    <w:p w:rsidR="00D21A46" w:rsidRPr="00D21A46" w:rsidRDefault="00D21A46" w:rsidP="00D21A46">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Number of members of the ESC </w:t>
      </w:r>
      <w:r w:rsidRPr="00D21A46">
        <w:rPr>
          <w:rFonts w:ascii="Tahoma" w:eastAsia="Times New Roman" w:hAnsi="Tahoma" w:cs="Tahoma"/>
          <w:color w:val="211E1F"/>
          <w:sz w:val="21"/>
          <w:szCs w:val="21"/>
          <w:lang w:eastAsia="fr-FR"/>
        </w:rPr>
        <w:t>56 members</w:t>
      </w:r>
    </w:p>
    <w:p w:rsidR="00D21A46" w:rsidRPr="00D21A46" w:rsidRDefault="00D21A46" w:rsidP="00D21A46">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Membership structure</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3 employees’ organizations: 21 members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4 employers’ organizations: 20 members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Government : 15 members</w:t>
      </w:r>
    </w:p>
    <w:p w:rsidR="00D21A46" w:rsidRPr="00D21A46" w:rsidRDefault="00D21A46" w:rsidP="00D21A46">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Duration of the term </w:t>
      </w:r>
      <w:r w:rsidRPr="00D21A46">
        <w:rPr>
          <w:rFonts w:ascii="Tahoma" w:eastAsia="Times New Roman" w:hAnsi="Tahoma" w:cs="Tahoma"/>
          <w:color w:val="211E1F"/>
          <w:sz w:val="21"/>
          <w:szCs w:val="21"/>
          <w:lang w:eastAsia="fr-FR"/>
        </w:rPr>
        <w:t>unlimited</w:t>
      </w:r>
    </w:p>
    <w:p w:rsidR="00D21A46" w:rsidRPr="00D21A46" w:rsidRDefault="00D21A46" w:rsidP="00D21A46">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Process of designating the members (election, nomination, by whom, etc.)</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The President is appointed by the Prime Minister. The duration of the President’s mandate is not determined.</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lastRenderedPageBreak/>
        <w:t>There are 7 Vice Presidents. They are Heads of every representative employees’ and employers’ organization. They are appointed by their organization.</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Works of the Commission are governed by the Presidium, composed of the President and Vice Presidents of the Commission</w:t>
      </w:r>
      <w:r w:rsidRPr="00D21A46">
        <w:rPr>
          <w:rFonts w:ascii="Tahoma" w:eastAsia="Times New Roman" w:hAnsi="Tahoma" w:cs="Tahoma"/>
          <w:b/>
          <w:bCs/>
          <w:color w:val="211E1F"/>
          <w:sz w:val="21"/>
          <w:szCs w:val="21"/>
          <w:lang w:eastAsia="fr-FR"/>
        </w:rPr>
        <w:t>.</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Mission and attributions</w:t>
      </w:r>
    </w:p>
    <w:p w:rsidR="00D21A46" w:rsidRPr="00D21A46" w:rsidRDefault="00D21A46" w:rsidP="00D21A4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conducting social dialogue on remunerations and social benefits-related issues and other social or economic affairs</w:t>
      </w:r>
    </w:p>
    <w:p w:rsidR="00D21A46" w:rsidRPr="00D21A46" w:rsidRDefault="00D21A46" w:rsidP="00D21A4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deciding on cases of a great social or economic importance presented for agenda of the Commission by one party, if such party considers that solving of such case is crucial for maintaining social order</w:t>
      </w:r>
    </w:p>
    <w:p w:rsidR="00D21A46" w:rsidRPr="00D21A46" w:rsidRDefault="00D21A46" w:rsidP="00D21A4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establishing joint agreements, subject of which are mutual obligations of the parties aiming at finding an consensus of the interests of employees, employers and public welfare as well as achievement and maintenance of social order</w:t>
      </w:r>
    </w:p>
    <w:p w:rsidR="00D21A46" w:rsidRPr="00D21A46" w:rsidRDefault="00D21A46" w:rsidP="00D21A4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participating in works on draft budget act</w:t>
      </w:r>
    </w:p>
    <w:p w:rsidR="00D21A46" w:rsidRPr="00D21A46" w:rsidRDefault="00D21A46" w:rsidP="00D21A46">
      <w:pPr>
        <w:shd w:val="clear" w:color="auto" w:fill="FFFFFF"/>
        <w:spacing w:after="0" w:line="312" w:lineRule="atLeast"/>
        <w:ind w:left="372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Administrative organization of the ESC</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Organization of works of the Commission is specified in the Act of 6 July, 2001 on Tripartite Commission for Social and Economic Affairs and Voivodeship commissions for social dialogue (Journal of Laws of 2001, No. 100, item 1080 as amended), and in the Resolution No. 2 of 6 March, 2002 on Commission Rules and regulations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Service of the Commission is provided by the secretary office of the Commission, composed of the employees of the Social Dialogue and Social Partnership Department of the Ministry of Labour and Social Policy.</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Functioning of the ESC</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The Government convenes the Institution. It has a legal right to issue own-initiative opinion.</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The Institution gives its opinions to the Government. There is no official publication, but the public opinion is informed by the Medias.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The budget is agreed between the parties.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The members (apart from the governmental party) receive wage from the State budget.</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u w:val="single"/>
          <w:lang w:eastAsia="fr-FR"/>
        </w:rPr>
        <w:t>List of Sections</w:t>
      </w:r>
      <w:r w:rsidRPr="00D21A46">
        <w:rPr>
          <w:rFonts w:ascii="Tahoma" w:eastAsia="Times New Roman" w:hAnsi="Tahoma" w:cs="Tahoma"/>
          <w:color w:val="211E1F"/>
          <w:sz w:val="21"/>
          <w:szCs w:val="21"/>
          <w:lang w:eastAsia="fr-FR"/>
        </w:rPr>
        <w:t>:</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Social Insurance</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Labor, Law and Collective Agreements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Budget, Salaries and Social Benefits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Economic Policy and Labor Market</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Social Dialogue Development</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Public Services</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lastRenderedPageBreak/>
        <w:t>Working Group for Co-operation with ILO</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Structural Funds of EU</w:t>
      </w:r>
    </w:p>
    <w:p w:rsidR="00D21A46" w:rsidRPr="00D21A46" w:rsidRDefault="00D21A46" w:rsidP="00D21A46">
      <w:pPr>
        <w:shd w:val="clear" w:color="auto" w:fill="FFFFFF"/>
        <w:spacing w:after="15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Working Group for European Social Charter (revised)</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Achievements of the ESC</w:t>
      </w:r>
    </w:p>
    <w:p w:rsidR="00D21A46" w:rsidRPr="00D21A46" w:rsidRDefault="00D21A46" w:rsidP="00D21A46">
      <w:pPr>
        <w:numPr>
          <w:ilvl w:val="0"/>
          <w:numId w:val="5"/>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Main publications/studies</w:t>
      </w:r>
    </w:p>
    <w:p w:rsidR="00D21A46" w:rsidRPr="00D21A46" w:rsidRDefault="00D21A46" w:rsidP="00D21A46">
      <w:pPr>
        <w:numPr>
          <w:ilvl w:val="0"/>
          <w:numId w:val="5"/>
        </w:numPr>
        <w:shd w:val="clear" w:color="auto" w:fill="FFFFFF"/>
        <w:spacing w:after="0" w:line="312" w:lineRule="atLeast"/>
        <w:ind w:left="3030"/>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Best practices</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b/>
          <w:bCs/>
          <w:color w:val="211E1F"/>
          <w:sz w:val="21"/>
          <w:szCs w:val="21"/>
          <w:lang w:eastAsia="fr-FR"/>
        </w:rPr>
        <w:t>Affiliations </w:t>
      </w:r>
      <w:r w:rsidRPr="00D21A46">
        <w:rPr>
          <w:rFonts w:ascii="Tahoma" w:eastAsia="Times New Roman" w:hAnsi="Tahoma" w:cs="Tahoma"/>
          <w:color w:val="211E1F"/>
          <w:sz w:val="21"/>
          <w:szCs w:val="21"/>
          <w:lang w:eastAsia="fr-FR"/>
        </w:rPr>
        <w:t>AICESIS</w:t>
      </w:r>
    </w:p>
    <w:p w:rsidR="00D21A46" w:rsidRPr="00D21A46" w:rsidRDefault="00D21A46" w:rsidP="00D21A46">
      <w:pPr>
        <w:shd w:val="clear" w:color="auto" w:fill="FFFFFF"/>
        <w:spacing w:after="0" w:line="312" w:lineRule="atLeast"/>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 </w:t>
      </w:r>
    </w:p>
    <w:p w:rsidR="00D21A46" w:rsidRPr="00D21A46" w:rsidRDefault="00D21A46" w:rsidP="00D21A46">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D21A46">
        <w:rPr>
          <w:rFonts w:ascii="Tahoma" w:eastAsia="Times New Roman" w:hAnsi="Tahoma" w:cs="Tahoma"/>
          <w:b/>
          <w:bCs/>
          <w:color w:val="252525"/>
          <w:sz w:val="24"/>
          <w:szCs w:val="24"/>
          <w:lang w:eastAsia="fr-FR"/>
        </w:rPr>
        <w:t>Contacts</w:t>
      </w:r>
    </w:p>
    <w:p w:rsidR="00D21A46" w:rsidRPr="00D21A46" w:rsidRDefault="00D21A46" w:rsidP="00D21A46">
      <w:pPr>
        <w:shd w:val="clear" w:color="auto" w:fill="FFFFFF"/>
        <w:spacing w:before="105" w:after="150" w:line="240" w:lineRule="auto"/>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(48-22) 66-11-663</w:t>
      </w:r>
    </w:p>
    <w:p w:rsidR="00D21A46" w:rsidRPr="00D21A46" w:rsidRDefault="00D21A46" w:rsidP="00D21A46">
      <w:pPr>
        <w:shd w:val="clear" w:color="auto" w:fill="FFFFFF"/>
        <w:spacing w:before="105" w:after="150" w:line="240" w:lineRule="auto"/>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(48-22) 66-10-621</w:t>
      </w:r>
    </w:p>
    <w:p w:rsidR="00D21A46" w:rsidRPr="00D21A46" w:rsidRDefault="00D21A46" w:rsidP="00D21A46">
      <w:pPr>
        <w:shd w:val="clear" w:color="auto" w:fill="FFFFFF"/>
        <w:spacing w:after="0" w:line="240" w:lineRule="auto"/>
        <w:rPr>
          <w:rFonts w:ascii="Tahoma" w:eastAsia="Times New Roman" w:hAnsi="Tahoma" w:cs="Tahoma"/>
          <w:color w:val="211E1F"/>
          <w:sz w:val="21"/>
          <w:szCs w:val="21"/>
          <w:lang w:eastAsia="fr-FR"/>
        </w:rPr>
      </w:pPr>
      <w:hyperlink r:id="rId7" w:history="1">
        <w:r w:rsidRPr="00D21A46">
          <w:rPr>
            <w:rFonts w:ascii="Tahoma" w:eastAsia="Times New Roman" w:hAnsi="Tahoma" w:cs="Tahoma"/>
            <w:color w:val="1B75BB"/>
            <w:sz w:val="21"/>
            <w:szCs w:val="21"/>
            <w:u w:val="single"/>
            <w:lang w:eastAsia="fr-FR"/>
          </w:rPr>
          <w:t>agata.oklinska@mpips.gov.pl</w:t>
        </w:r>
      </w:hyperlink>
    </w:p>
    <w:p w:rsidR="00D21A46" w:rsidRPr="00D21A46" w:rsidRDefault="00D21A46" w:rsidP="00D21A46">
      <w:pPr>
        <w:shd w:val="clear" w:color="auto" w:fill="FFFFFF"/>
        <w:spacing w:after="0" w:line="240" w:lineRule="auto"/>
        <w:rPr>
          <w:rFonts w:ascii="Tahoma" w:eastAsia="Times New Roman" w:hAnsi="Tahoma" w:cs="Tahoma"/>
          <w:color w:val="211E1F"/>
          <w:sz w:val="21"/>
          <w:szCs w:val="21"/>
          <w:lang w:eastAsia="fr-FR"/>
        </w:rPr>
      </w:pPr>
      <w:hyperlink w:tgtFrame="_blank" w:history="1">
        <w:r w:rsidRPr="00D21A46">
          <w:rPr>
            <w:rFonts w:ascii="Tahoma" w:eastAsia="Times New Roman" w:hAnsi="Tahoma" w:cs="Tahoma"/>
            <w:color w:val="1B75BB"/>
            <w:sz w:val="21"/>
            <w:szCs w:val="21"/>
            <w:u w:val="single"/>
            <w:lang w:eastAsia="fr-FR"/>
          </w:rPr>
          <w:t>www.mpips.gov.pl / www.dialog.gov.pl (only in Polish)</w:t>
        </w:r>
      </w:hyperlink>
    </w:p>
    <w:p w:rsidR="00D21A46" w:rsidRPr="00D21A46" w:rsidRDefault="00D21A46" w:rsidP="00D21A46">
      <w:pPr>
        <w:shd w:val="clear" w:color="auto" w:fill="FFFFFF"/>
        <w:spacing w:before="105" w:after="150" w:line="240" w:lineRule="auto"/>
        <w:rPr>
          <w:rFonts w:ascii="Tahoma" w:eastAsia="Times New Roman" w:hAnsi="Tahoma" w:cs="Tahoma"/>
          <w:color w:val="211E1F"/>
          <w:sz w:val="21"/>
          <w:szCs w:val="21"/>
          <w:lang w:eastAsia="fr-FR"/>
        </w:rPr>
      </w:pPr>
      <w:r w:rsidRPr="00D21A46">
        <w:rPr>
          <w:rFonts w:ascii="Tahoma" w:eastAsia="Times New Roman" w:hAnsi="Tahoma" w:cs="Tahoma"/>
          <w:color w:val="211E1F"/>
          <w:sz w:val="21"/>
          <w:szCs w:val="21"/>
          <w:lang w:eastAsia="fr-FR"/>
        </w:rPr>
        <w:t>Ministry of Labour and Social Policy – Social Dialogue and Partnership Department – ul. Nowogrodzka 1/3/5 - 00-513 WARSAW (POLAND)</w:t>
      </w:r>
    </w:p>
    <w:p w:rsidR="00CB4F63" w:rsidRDefault="00D21A46">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431"/>
    <w:multiLevelType w:val="multilevel"/>
    <w:tmpl w:val="5430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53044"/>
    <w:multiLevelType w:val="multilevel"/>
    <w:tmpl w:val="9B3C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C0A97"/>
    <w:multiLevelType w:val="multilevel"/>
    <w:tmpl w:val="DA8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94579"/>
    <w:multiLevelType w:val="multilevel"/>
    <w:tmpl w:val="FA18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0008C"/>
    <w:multiLevelType w:val="multilevel"/>
    <w:tmpl w:val="3F0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9C"/>
    <w:rsid w:val="00267E9C"/>
    <w:rsid w:val="00570244"/>
    <w:rsid w:val="00A44982"/>
    <w:rsid w:val="00D21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8EC7-5D94-4BAA-A2B2-9822F38D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D21A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21A4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1A46"/>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21A4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21A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D21A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D21A46"/>
  </w:style>
  <w:style w:type="character" w:styleId="lev">
    <w:name w:val="Strong"/>
    <w:basedOn w:val="Policepardfaut"/>
    <w:uiPriority w:val="22"/>
    <w:qFormat/>
    <w:rsid w:val="00D21A46"/>
    <w:rPr>
      <w:b/>
      <w:bCs/>
    </w:rPr>
  </w:style>
  <w:style w:type="paragraph" w:customStyle="1" w:styleId="icophone">
    <w:name w:val="ico_phone"/>
    <w:basedOn w:val="Normal"/>
    <w:rsid w:val="00D21A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D21A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D21A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21A46"/>
    <w:rPr>
      <w:color w:val="0000FF"/>
      <w:u w:val="single"/>
    </w:rPr>
  </w:style>
  <w:style w:type="paragraph" w:customStyle="1" w:styleId="fz14">
    <w:name w:val="fz14"/>
    <w:basedOn w:val="Normal"/>
    <w:rsid w:val="00D21A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D21A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3012">
      <w:bodyDiv w:val="1"/>
      <w:marLeft w:val="0"/>
      <w:marRight w:val="0"/>
      <w:marTop w:val="0"/>
      <w:marBottom w:val="0"/>
      <w:divBdr>
        <w:top w:val="none" w:sz="0" w:space="0" w:color="auto"/>
        <w:left w:val="none" w:sz="0" w:space="0" w:color="auto"/>
        <w:bottom w:val="none" w:sz="0" w:space="0" w:color="auto"/>
        <w:right w:val="none" w:sz="0" w:space="0" w:color="auto"/>
      </w:divBdr>
      <w:divsChild>
        <w:div w:id="1362173063">
          <w:marLeft w:val="150"/>
          <w:marRight w:val="150"/>
          <w:marTop w:val="150"/>
          <w:marBottom w:val="150"/>
          <w:divBdr>
            <w:top w:val="none" w:sz="0" w:space="0" w:color="auto"/>
            <w:left w:val="none" w:sz="0" w:space="0" w:color="auto"/>
            <w:bottom w:val="none" w:sz="0" w:space="0" w:color="auto"/>
            <w:right w:val="none" w:sz="0" w:space="0" w:color="auto"/>
          </w:divBdr>
          <w:divsChild>
            <w:div w:id="1031153024">
              <w:marLeft w:val="0"/>
              <w:marRight w:val="0"/>
              <w:marTop w:val="0"/>
              <w:marBottom w:val="0"/>
              <w:divBdr>
                <w:top w:val="single" w:sz="6" w:space="4" w:color="F0F0F0"/>
                <w:left w:val="single" w:sz="6" w:space="4" w:color="F0F0F0"/>
                <w:bottom w:val="single" w:sz="6" w:space="4" w:color="F0F0F0"/>
                <w:right w:val="single" w:sz="6" w:space="4" w:color="F0F0F0"/>
              </w:divBdr>
            </w:div>
            <w:div w:id="1012150809">
              <w:marLeft w:val="0"/>
              <w:marRight w:val="0"/>
              <w:marTop w:val="225"/>
              <w:marBottom w:val="150"/>
              <w:divBdr>
                <w:top w:val="none" w:sz="0" w:space="0" w:color="auto"/>
                <w:left w:val="none" w:sz="0" w:space="0" w:color="auto"/>
                <w:bottom w:val="none" w:sz="0" w:space="0" w:color="auto"/>
                <w:right w:val="none" w:sz="0" w:space="0" w:color="auto"/>
              </w:divBdr>
            </w:div>
            <w:div w:id="260184381">
              <w:marLeft w:val="0"/>
              <w:marRight w:val="0"/>
              <w:marTop w:val="225"/>
              <w:marBottom w:val="150"/>
              <w:divBdr>
                <w:top w:val="none" w:sz="0" w:space="0" w:color="auto"/>
                <w:left w:val="none" w:sz="0" w:space="0" w:color="auto"/>
                <w:bottom w:val="none" w:sz="0" w:space="0" w:color="auto"/>
                <w:right w:val="none" w:sz="0" w:space="0" w:color="auto"/>
              </w:divBdr>
            </w:div>
          </w:divsChild>
        </w:div>
        <w:div w:id="1572539179">
          <w:marLeft w:val="3000"/>
          <w:marRight w:val="0"/>
          <w:marTop w:val="0"/>
          <w:marBottom w:val="0"/>
          <w:divBdr>
            <w:top w:val="none" w:sz="0" w:space="0" w:color="auto"/>
            <w:left w:val="none" w:sz="0" w:space="0" w:color="auto"/>
            <w:bottom w:val="none" w:sz="0" w:space="0" w:color="auto"/>
            <w:right w:val="none" w:sz="0" w:space="0" w:color="auto"/>
          </w:divBdr>
          <w:divsChild>
            <w:div w:id="4483793">
              <w:marLeft w:val="0"/>
              <w:marRight w:val="0"/>
              <w:marTop w:val="0"/>
              <w:marBottom w:val="0"/>
              <w:divBdr>
                <w:top w:val="none" w:sz="0" w:space="0" w:color="auto"/>
                <w:left w:val="none" w:sz="0" w:space="0" w:color="auto"/>
                <w:bottom w:val="none" w:sz="0" w:space="0" w:color="auto"/>
                <w:right w:val="none" w:sz="0" w:space="0" w:color="auto"/>
              </w:divBdr>
            </w:div>
            <w:div w:id="104464864">
              <w:marLeft w:val="0"/>
              <w:marRight w:val="0"/>
              <w:marTop w:val="0"/>
              <w:marBottom w:val="0"/>
              <w:divBdr>
                <w:top w:val="none" w:sz="0" w:space="0" w:color="auto"/>
                <w:left w:val="none" w:sz="0" w:space="0" w:color="auto"/>
                <w:bottom w:val="none" w:sz="0" w:space="0" w:color="auto"/>
                <w:right w:val="none" w:sz="0" w:space="0" w:color="auto"/>
              </w:divBdr>
            </w:div>
            <w:div w:id="2029527135">
              <w:marLeft w:val="0"/>
              <w:marRight w:val="0"/>
              <w:marTop w:val="0"/>
              <w:marBottom w:val="0"/>
              <w:divBdr>
                <w:top w:val="none" w:sz="0" w:space="0" w:color="auto"/>
                <w:left w:val="none" w:sz="0" w:space="0" w:color="auto"/>
                <w:bottom w:val="none" w:sz="0" w:space="0" w:color="auto"/>
                <w:right w:val="none" w:sz="0" w:space="0" w:color="auto"/>
              </w:divBdr>
            </w:div>
            <w:div w:id="1575706027">
              <w:marLeft w:val="0"/>
              <w:marRight w:val="0"/>
              <w:marTop w:val="0"/>
              <w:marBottom w:val="0"/>
              <w:divBdr>
                <w:top w:val="none" w:sz="0" w:space="0" w:color="auto"/>
                <w:left w:val="none" w:sz="0" w:space="0" w:color="auto"/>
                <w:bottom w:val="none" w:sz="0" w:space="0" w:color="auto"/>
                <w:right w:val="none" w:sz="0" w:space="0" w:color="auto"/>
              </w:divBdr>
            </w:div>
            <w:div w:id="257645194">
              <w:marLeft w:val="0"/>
              <w:marRight w:val="0"/>
              <w:marTop w:val="0"/>
              <w:marBottom w:val="0"/>
              <w:divBdr>
                <w:top w:val="none" w:sz="0" w:space="0" w:color="auto"/>
                <w:left w:val="none" w:sz="0" w:space="0" w:color="auto"/>
                <w:bottom w:val="none" w:sz="0" w:space="0" w:color="auto"/>
                <w:right w:val="none" w:sz="0" w:space="0" w:color="auto"/>
              </w:divBdr>
            </w:div>
            <w:div w:id="2096510946">
              <w:marLeft w:val="0"/>
              <w:marRight w:val="0"/>
              <w:marTop w:val="0"/>
              <w:marBottom w:val="0"/>
              <w:divBdr>
                <w:top w:val="none" w:sz="0" w:space="0" w:color="auto"/>
                <w:left w:val="none" w:sz="0" w:space="0" w:color="auto"/>
                <w:bottom w:val="none" w:sz="0" w:space="0" w:color="auto"/>
                <w:right w:val="none" w:sz="0" w:space="0" w:color="auto"/>
              </w:divBdr>
              <w:divsChild>
                <w:div w:id="399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ta.oklinska@mpip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3439</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2019-09-04T15:17:00Z</dcterms:created>
  <dcterms:modified xsi:type="dcterms:W3CDTF">2019-09-04T15:17:00Z</dcterms:modified>
</cp:coreProperties>
</file>