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BC" w:rsidRDefault="00613EBC" w:rsidP="00613EBC">
      <w:pPr>
        <w:shd w:val="clear" w:color="auto" w:fill="FFFFFF"/>
        <w:jc w:val="center"/>
        <w:rPr>
          <w:rFonts w:ascii="Tahoma" w:hAnsi="Tahoma" w:cs="Tahoma"/>
          <w:color w:val="211E1F"/>
          <w:sz w:val="21"/>
          <w:szCs w:val="21"/>
        </w:rPr>
      </w:pPr>
      <w:r>
        <w:rPr>
          <w:rFonts w:ascii="Tahoma" w:hAnsi="Tahoma" w:cs="Tahoma"/>
          <w:noProof/>
          <w:color w:val="211E1F"/>
          <w:sz w:val="21"/>
          <w:szCs w:val="21"/>
          <w:lang w:eastAsia="fr-FR"/>
        </w:rPr>
        <w:drawing>
          <wp:inline distT="0" distB="0" distL="0" distR="0">
            <wp:extent cx="1123950" cy="1333500"/>
            <wp:effectExtent l="0" t="0" r="0" b="0"/>
            <wp:docPr id="2" name="Image 2" descr="Conseil National Économique et Social (N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National Économique et Social (NES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333500"/>
                    </a:xfrm>
                    <a:prstGeom prst="rect">
                      <a:avLst/>
                    </a:prstGeom>
                    <a:noFill/>
                    <a:ln>
                      <a:noFill/>
                    </a:ln>
                  </pic:spPr>
                </pic:pic>
              </a:graphicData>
            </a:graphic>
          </wp:inline>
        </w:drawing>
      </w:r>
    </w:p>
    <w:p w:rsidR="00613EBC" w:rsidRDefault="00613EBC" w:rsidP="00613EBC">
      <w:pPr>
        <w:shd w:val="clear" w:color="auto" w:fill="FFFFFF"/>
        <w:jc w:val="center"/>
        <w:rPr>
          <w:rFonts w:ascii="Tahoma" w:hAnsi="Tahoma" w:cs="Tahoma"/>
          <w:color w:val="211E1F"/>
          <w:sz w:val="21"/>
          <w:szCs w:val="21"/>
        </w:rPr>
      </w:pPr>
      <w:r>
        <w:rPr>
          <w:rFonts w:ascii="Tahoma" w:hAnsi="Tahoma" w:cs="Tahoma"/>
          <w:color w:val="211E1F"/>
          <w:sz w:val="21"/>
          <w:szCs w:val="21"/>
        </w:rPr>
        <w:t> </w:t>
      </w:r>
      <w:r>
        <w:rPr>
          <w:rFonts w:ascii="Tahoma" w:hAnsi="Tahoma" w:cs="Tahoma"/>
          <w:noProof/>
          <w:color w:val="211E1F"/>
          <w:sz w:val="21"/>
          <w:szCs w:val="21"/>
          <w:lang w:eastAsia="fr-FR"/>
        </w:rPr>
        <w:drawing>
          <wp:inline distT="0" distB="0" distL="0" distR="0">
            <wp:extent cx="609600" cy="609600"/>
            <wp:effectExtent l="0" t="0" r="0" b="0"/>
            <wp:docPr id="1" name="Image 1" descr="Ir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a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13EBC" w:rsidRDefault="00613EBC" w:rsidP="00613EBC">
      <w:pPr>
        <w:pStyle w:val="NormalWeb"/>
        <w:shd w:val="clear" w:color="auto" w:fill="FFFFFF"/>
        <w:spacing w:before="0" w:beforeAutospacing="0" w:after="150" w:afterAutospacing="0"/>
        <w:jc w:val="center"/>
        <w:rPr>
          <w:rFonts w:ascii="Tahoma" w:hAnsi="Tahoma" w:cs="Tahoma"/>
          <w:color w:val="211E1F"/>
          <w:sz w:val="21"/>
          <w:szCs w:val="21"/>
        </w:rPr>
      </w:pPr>
      <w:r>
        <w:rPr>
          <w:rFonts w:ascii="Tahoma" w:hAnsi="Tahoma" w:cs="Tahoma"/>
          <w:color w:val="211E1F"/>
          <w:sz w:val="21"/>
          <w:szCs w:val="21"/>
        </w:rPr>
        <w:t>Irlande</w:t>
      </w:r>
    </w:p>
    <w:p w:rsidR="00613EBC" w:rsidRDefault="00613EBC" w:rsidP="00613EBC">
      <w:pPr>
        <w:pStyle w:val="fz12"/>
        <w:shd w:val="clear" w:color="auto" w:fill="FFFFFF"/>
        <w:spacing w:before="0" w:beforeAutospacing="0" w:after="0" w:afterAutospacing="0"/>
        <w:jc w:val="center"/>
        <w:rPr>
          <w:rFonts w:ascii="Tahoma" w:hAnsi="Tahoma" w:cs="Tahoma"/>
          <w:color w:val="211E1F"/>
          <w:sz w:val="18"/>
          <w:szCs w:val="18"/>
        </w:rPr>
      </w:pPr>
      <w:r>
        <w:rPr>
          <w:rStyle w:val="cllggrey"/>
          <w:rFonts w:ascii="Tahoma" w:eastAsiaTheme="majorEastAsia" w:hAnsi="Tahoma" w:cs="Tahoma"/>
          <w:color w:val="929598"/>
          <w:sz w:val="18"/>
          <w:szCs w:val="18"/>
        </w:rPr>
        <w:t>Date d'entrée: </w:t>
      </w:r>
      <w:r>
        <w:rPr>
          <w:rFonts w:ascii="Tahoma" w:hAnsi="Tahoma" w:cs="Tahoma"/>
          <w:color w:val="211E1F"/>
          <w:sz w:val="18"/>
          <w:szCs w:val="18"/>
        </w:rPr>
        <w:t>July 6, 2001</w:t>
      </w:r>
    </w:p>
    <w:p w:rsidR="00613EBC" w:rsidRDefault="00613EBC" w:rsidP="00613EBC">
      <w:pPr>
        <w:shd w:val="clear" w:color="auto" w:fill="FFFFFF"/>
        <w:jc w:val="center"/>
        <w:rPr>
          <w:rFonts w:ascii="Tahoma" w:hAnsi="Tahoma" w:cs="Tahoma"/>
          <w:color w:val="211E1F"/>
          <w:sz w:val="21"/>
          <w:szCs w:val="21"/>
        </w:rPr>
      </w:pPr>
      <w:r>
        <w:rPr>
          <w:rFonts w:ascii="Tahoma" w:hAnsi="Tahoma" w:cs="Tahoma"/>
          <w:color w:val="211E1F"/>
          <w:sz w:val="21"/>
          <w:szCs w:val="21"/>
        </w:rPr>
        <w:t>Membre de l'AICESIS</w:t>
      </w:r>
    </w:p>
    <w:p w:rsidR="00613EBC" w:rsidRDefault="00613EBC" w:rsidP="00613EBC">
      <w:pPr>
        <w:shd w:val="clear" w:color="auto" w:fill="FFFFFF"/>
        <w:jc w:val="center"/>
        <w:rPr>
          <w:rFonts w:ascii="Tahoma" w:hAnsi="Tahoma" w:cs="Tahoma"/>
          <w:color w:val="211E1F"/>
          <w:sz w:val="21"/>
          <w:szCs w:val="21"/>
        </w:rPr>
      </w:pPr>
      <w:r>
        <w:rPr>
          <w:rFonts w:ascii="Tahoma" w:hAnsi="Tahoma" w:cs="Tahoma"/>
          <w:color w:val="211E1F"/>
          <w:sz w:val="21"/>
          <w:szCs w:val="21"/>
        </w:rPr>
        <w:t>Membre de l'ILO</w:t>
      </w:r>
    </w:p>
    <w:p w:rsidR="00613EBC" w:rsidRDefault="00613EBC" w:rsidP="00613EBC">
      <w:pPr>
        <w:pStyle w:val="Titre2"/>
        <w:shd w:val="clear" w:color="auto" w:fill="FFFFFF"/>
        <w:spacing w:before="225" w:beforeAutospacing="0" w:after="225" w:afterAutospacing="0"/>
        <w:rPr>
          <w:rFonts w:ascii="Tahoma" w:hAnsi="Tahoma" w:cs="Tahoma"/>
          <w:color w:val="59595B"/>
          <w:sz w:val="30"/>
          <w:szCs w:val="30"/>
        </w:rPr>
      </w:pPr>
      <w:r>
        <w:rPr>
          <w:rFonts w:ascii="Tahoma" w:hAnsi="Tahoma" w:cs="Tahoma"/>
          <w:color w:val="59595B"/>
          <w:sz w:val="30"/>
          <w:szCs w:val="30"/>
        </w:rPr>
        <w:t>Conseil National Économique et Social (NESC)</w:t>
      </w:r>
    </w:p>
    <w:p w:rsidR="00613EBC" w:rsidRDefault="00613EBC" w:rsidP="00613EBC">
      <w:pPr>
        <w:pStyle w:val="NormalWeb"/>
        <w:shd w:val="clear" w:color="auto" w:fill="FFFFFF"/>
        <w:spacing w:before="0" w:beforeAutospacing="0" w:after="0" w:afterAutospacing="0"/>
        <w:rPr>
          <w:rFonts w:ascii="Tahoma" w:hAnsi="Tahoma" w:cs="Tahoma"/>
          <w:color w:val="211E1F"/>
          <w:sz w:val="21"/>
          <w:szCs w:val="21"/>
        </w:rPr>
      </w:pPr>
      <w:r>
        <w:rPr>
          <w:rStyle w:val="lev"/>
          <w:rFonts w:ascii="Tahoma" w:hAnsi="Tahoma" w:cs="Tahoma"/>
          <w:color w:val="211E1F"/>
          <w:sz w:val="21"/>
          <w:szCs w:val="21"/>
        </w:rPr>
        <w:t>Président :</w:t>
      </w:r>
      <w:r>
        <w:rPr>
          <w:rFonts w:ascii="Tahoma" w:hAnsi="Tahoma" w:cs="Tahoma"/>
          <w:color w:val="211E1F"/>
          <w:sz w:val="21"/>
          <w:szCs w:val="21"/>
        </w:rPr>
        <w:t> Monsieur Martin FRASER </w:t>
      </w:r>
      <w:r>
        <w:rPr>
          <w:rFonts w:ascii="Tahoma" w:hAnsi="Tahoma" w:cs="Tahoma"/>
          <w:color w:val="211E1F"/>
          <w:sz w:val="21"/>
          <w:szCs w:val="21"/>
        </w:rPr>
        <w:br/>
      </w:r>
      <w:r>
        <w:rPr>
          <w:rStyle w:val="lev"/>
          <w:rFonts w:ascii="Tahoma" w:hAnsi="Tahoma" w:cs="Tahoma"/>
          <w:color w:val="211E1F"/>
          <w:sz w:val="21"/>
          <w:szCs w:val="21"/>
        </w:rPr>
        <w:t>Directeur :</w:t>
      </w:r>
      <w:r>
        <w:rPr>
          <w:rFonts w:ascii="Tahoma" w:hAnsi="Tahoma" w:cs="Tahoma"/>
          <w:color w:val="211E1F"/>
          <w:sz w:val="21"/>
          <w:szCs w:val="21"/>
        </w:rPr>
        <w:t> Dr Rory O’DONNELL</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 </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The National Economic and Social Council (NESC) was established in 1973 and advises the Taoiseach (Prime Minister) on strategic issues for Ireland’s economic and social development. The members of the Council are appointed by the Taoiseach, for a three year term.  These members are representatives of business and employers’ organisations, trade unions, agricultural and farming organisations, community and voluntary organisations, and environmental organisations; as well as heads of Government departments and independent experts. The make-up of the NESC Council means that it plays an important and unique role in bringing different perspectives from civil society together with Government.  This helps the NESC to analyse the challenges facing Irish society and to develop a shared understanding among its members of how to tackle these challenges.</w:t>
      </w:r>
    </w:p>
    <w:p w:rsidR="00613EBC" w:rsidRDefault="00613EBC" w:rsidP="00613EBC">
      <w:pPr>
        <w:pStyle w:val="NormalWeb"/>
        <w:shd w:val="clear" w:color="auto" w:fill="FFFFFF"/>
        <w:spacing w:before="0" w:beforeAutospacing="0" w:after="0" w:afterAutospacing="0" w:line="312" w:lineRule="atLeast"/>
        <w:rPr>
          <w:rFonts w:ascii="Tahoma" w:hAnsi="Tahoma" w:cs="Tahoma"/>
          <w:color w:val="211E1F"/>
          <w:sz w:val="21"/>
          <w:szCs w:val="21"/>
        </w:rPr>
      </w:pPr>
      <w:r>
        <w:rPr>
          <w:rStyle w:val="lev"/>
          <w:rFonts w:ascii="Tahoma" w:hAnsi="Tahoma" w:cs="Tahoma"/>
          <w:color w:val="211E1F"/>
          <w:sz w:val="21"/>
          <w:szCs w:val="21"/>
        </w:rPr>
        <w:t>Establishment</w:t>
      </w:r>
    </w:p>
    <w:p w:rsidR="00613EBC" w:rsidRDefault="00613EBC" w:rsidP="00613EBC">
      <w:pPr>
        <w:numPr>
          <w:ilvl w:val="0"/>
          <w:numId w:val="1"/>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Date of creation</w:t>
      </w:r>
      <w:r>
        <w:rPr>
          <w:rFonts w:ascii="Tahoma" w:hAnsi="Tahoma" w:cs="Tahoma"/>
          <w:color w:val="211E1F"/>
          <w:sz w:val="21"/>
          <w:szCs w:val="21"/>
        </w:rPr>
        <w:t> 2 November 1973</w:t>
      </w:r>
    </w:p>
    <w:p w:rsidR="00613EBC" w:rsidRDefault="00613EBC" w:rsidP="00613EBC">
      <w:pPr>
        <w:numPr>
          <w:ilvl w:val="0"/>
          <w:numId w:val="1"/>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Year operational </w:t>
      </w:r>
      <w:r>
        <w:rPr>
          <w:rFonts w:ascii="Tahoma" w:hAnsi="Tahoma" w:cs="Tahoma"/>
          <w:color w:val="211E1F"/>
          <w:sz w:val="21"/>
          <w:szCs w:val="21"/>
        </w:rPr>
        <w:t>1973</w:t>
      </w:r>
    </w:p>
    <w:p w:rsidR="00613EBC" w:rsidRDefault="00613EBC" w:rsidP="00613EBC">
      <w:pPr>
        <w:numPr>
          <w:ilvl w:val="0"/>
          <w:numId w:val="1"/>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Nature of the texts that create the ESC (Constitution, law, decree, etc.)</w:t>
      </w:r>
      <w:r>
        <w:rPr>
          <w:rFonts w:ascii="Tahoma" w:hAnsi="Tahoma" w:cs="Tahoma"/>
          <w:color w:val="211E1F"/>
          <w:sz w:val="21"/>
          <w:szCs w:val="21"/>
        </w:rPr>
        <w:t> Statutory</w:t>
      </w:r>
    </w:p>
    <w:p w:rsidR="00613EBC" w:rsidRDefault="00613EBC" w:rsidP="00613EBC">
      <w:pPr>
        <w:pStyle w:val="NormalWeb"/>
        <w:shd w:val="clear" w:color="auto" w:fill="FFFFFF"/>
        <w:spacing w:before="0" w:beforeAutospacing="0" w:after="0" w:afterAutospacing="0" w:line="312" w:lineRule="atLeast"/>
        <w:rPr>
          <w:rFonts w:ascii="Tahoma" w:hAnsi="Tahoma" w:cs="Tahoma"/>
          <w:color w:val="211E1F"/>
          <w:sz w:val="21"/>
          <w:szCs w:val="21"/>
        </w:rPr>
      </w:pPr>
      <w:r>
        <w:rPr>
          <w:rStyle w:val="lev"/>
          <w:rFonts w:ascii="Tahoma" w:hAnsi="Tahoma" w:cs="Tahoma"/>
          <w:color w:val="211E1F"/>
          <w:sz w:val="21"/>
          <w:szCs w:val="21"/>
        </w:rPr>
        <w:t>Composition</w:t>
      </w:r>
    </w:p>
    <w:p w:rsidR="00613EBC" w:rsidRDefault="00613EBC" w:rsidP="00613EBC">
      <w:pPr>
        <w:numPr>
          <w:ilvl w:val="0"/>
          <w:numId w:val="2"/>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Number of members of the ESC </w:t>
      </w:r>
      <w:r>
        <w:rPr>
          <w:rFonts w:ascii="Tahoma" w:hAnsi="Tahoma" w:cs="Tahoma"/>
          <w:color w:val="211E1F"/>
          <w:sz w:val="21"/>
          <w:szCs w:val="21"/>
        </w:rPr>
        <w:t>32 members</w:t>
      </w:r>
    </w:p>
    <w:p w:rsidR="00613EBC" w:rsidRDefault="00613EBC" w:rsidP="00613EBC">
      <w:pPr>
        <w:numPr>
          <w:ilvl w:val="0"/>
          <w:numId w:val="2"/>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Membership structure</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Agricultural and farming Organizations: 4</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Irish Congress of Trade Unions: 4</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Business and employers Organizations: 4</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Voluntary and Community Organisations: 4</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lastRenderedPageBreak/>
        <w:t>Environmental Pillar - 4</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Government: 12</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There are 7 full time analysts.</w:t>
      </w:r>
    </w:p>
    <w:p w:rsidR="00613EBC" w:rsidRDefault="00613EBC" w:rsidP="00613EBC">
      <w:pPr>
        <w:numPr>
          <w:ilvl w:val="0"/>
          <w:numId w:val="3"/>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Duration of the term </w:t>
      </w:r>
      <w:r>
        <w:rPr>
          <w:rFonts w:ascii="Tahoma" w:hAnsi="Tahoma" w:cs="Tahoma"/>
          <w:color w:val="211E1F"/>
          <w:sz w:val="21"/>
          <w:szCs w:val="21"/>
        </w:rPr>
        <w:t>3 years</w:t>
      </w:r>
    </w:p>
    <w:p w:rsidR="00613EBC" w:rsidRDefault="00613EBC" w:rsidP="00613EBC">
      <w:pPr>
        <w:numPr>
          <w:ilvl w:val="0"/>
          <w:numId w:val="3"/>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Process of designating the members (election, nomination, by whom, etc.)</w:t>
      </w:r>
      <w:r>
        <w:rPr>
          <w:rFonts w:ascii="Tahoma" w:hAnsi="Tahoma" w:cs="Tahoma"/>
          <w:color w:val="211E1F"/>
          <w:sz w:val="21"/>
          <w:szCs w:val="21"/>
        </w:rPr>
        <w:t> appointed by the government</w:t>
      </w:r>
    </w:p>
    <w:p w:rsidR="00613EBC" w:rsidRDefault="00613EBC" w:rsidP="00613EBC">
      <w:pPr>
        <w:pStyle w:val="NormalWeb"/>
        <w:shd w:val="clear" w:color="auto" w:fill="FFFFFF"/>
        <w:spacing w:before="0" w:beforeAutospacing="0" w:after="0" w:afterAutospacing="0" w:line="312" w:lineRule="atLeast"/>
        <w:rPr>
          <w:rFonts w:ascii="Tahoma" w:hAnsi="Tahoma" w:cs="Tahoma"/>
          <w:color w:val="211E1F"/>
          <w:sz w:val="21"/>
          <w:szCs w:val="21"/>
        </w:rPr>
      </w:pPr>
      <w:r>
        <w:rPr>
          <w:rStyle w:val="lev"/>
          <w:rFonts w:ascii="Tahoma" w:hAnsi="Tahoma" w:cs="Tahoma"/>
          <w:color w:val="211E1F"/>
          <w:sz w:val="21"/>
          <w:szCs w:val="21"/>
        </w:rPr>
        <w:t>Mission and attributions</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Analyse and report to the Taoiseach on strategic issues relating to the efficient development of the economy, the achievement of social justice, and the development of a strategic framework for the conduct of relations and the negotiation of agreements between the Government and the social partners.</w:t>
      </w:r>
    </w:p>
    <w:p w:rsidR="00613EBC" w:rsidRDefault="00613EBC" w:rsidP="00613EBC">
      <w:pPr>
        <w:pStyle w:val="NormalWeb"/>
        <w:shd w:val="clear" w:color="auto" w:fill="FFFFFF"/>
        <w:spacing w:before="0" w:beforeAutospacing="0" w:after="0" w:afterAutospacing="0" w:line="312" w:lineRule="atLeast"/>
        <w:rPr>
          <w:rFonts w:ascii="Tahoma" w:hAnsi="Tahoma" w:cs="Tahoma"/>
          <w:color w:val="211E1F"/>
          <w:sz w:val="21"/>
          <w:szCs w:val="21"/>
        </w:rPr>
      </w:pPr>
      <w:r>
        <w:rPr>
          <w:rStyle w:val="lev"/>
          <w:rFonts w:ascii="Tahoma" w:hAnsi="Tahoma" w:cs="Tahoma"/>
          <w:color w:val="211E1F"/>
          <w:sz w:val="21"/>
          <w:szCs w:val="21"/>
        </w:rPr>
        <w:t>Administrative organization of the ESC</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The President is appointed by the Government in consultation with the interests represented on the Council. The duration of the mandate is 3 years renewable.</w:t>
      </w:r>
    </w:p>
    <w:p w:rsidR="00613EBC" w:rsidRDefault="00613EBC" w:rsidP="00613EBC">
      <w:pPr>
        <w:pStyle w:val="NormalWeb"/>
        <w:shd w:val="clear" w:color="auto" w:fill="FFFFFF"/>
        <w:spacing w:before="0" w:beforeAutospacing="0" w:after="0" w:afterAutospacing="0" w:line="312" w:lineRule="atLeast"/>
        <w:rPr>
          <w:rFonts w:ascii="Tahoma" w:hAnsi="Tahoma" w:cs="Tahoma"/>
          <w:color w:val="211E1F"/>
          <w:sz w:val="21"/>
          <w:szCs w:val="21"/>
        </w:rPr>
      </w:pPr>
      <w:r>
        <w:rPr>
          <w:rStyle w:val="lev"/>
          <w:rFonts w:ascii="Tahoma" w:hAnsi="Tahoma" w:cs="Tahoma"/>
          <w:color w:val="211E1F"/>
          <w:sz w:val="21"/>
          <w:szCs w:val="21"/>
        </w:rPr>
        <w:t>Functioning of the ESC</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The Government convenes the Institution. It has a legal right to issue own-initiative opinion.</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The Institution gives its opinions to the Government and Parliament. There are official publications.</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The budget is drawn up by the Department of Finance of Ireland.</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The Councillors receive compensation only.</w:t>
      </w:r>
    </w:p>
    <w:p w:rsidR="00613EBC" w:rsidRDefault="00613EBC" w:rsidP="00613EBC">
      <w:pPr>
        <w:pStyle w:val="NormalWeb"/>
        <w:shd w:val="clear" w:color="auto" w:fill="FFFFFF"/>
        <w:spacing w:before="0" w:beforeAutospacing="0" w:after="0" w:afterAutospacing="0" w:line="312" w:lineRule="atLeast"/>
        <w:rPr>
          <w:rFonts w:ascii="Tahoma" w:hAnsi="Tahoma" w:cs="Tahoma"/>
          <w:color w:val="211E1F"/>
          <w:sz w:val="21"/>
          <w:szCs w:val="21"/>
        </w:rPr>
      </w:pPr>
      <w:r>
        <w:rPr>
          <w:rStyle w:val="lev"/>
          <w:rFonts w:ascii="Tahoma" w:hAnsi="Tahoma" w:cs="Tahoma"/>
          <w:color w:val="211E1F"/>
          <w:sz w:val="21"/>
          <w:szCs w:val="21"/>
        </w:rPr>
        <w:t>Achievements of the ESC</w:t>
      </w:r>
    </w:p>
    <w:p w:rsidR="00613EBC" w:rsidRDefault="00613EBC" w:rsidP="00613EBC">
      <w:pPr>
        <w:numPr>
          <w:ilvl w:val="0"/>
          <w:numId w:val="4"/>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Main publications/studies</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Economic Report preparation</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Social Report preparation</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Sustainable Development Report preparation</w:t>
      </w:r>
    </w:p>
    <w:p w:rsidR="00613EBC" w:rsidRDefault="00613EBC" w:rsidP="00613EBC">
      <w:pPr>
        <w:pStyle w:val="NormalWeb"/>
        <w:shd w:val="clear" w:color="auto" w:fill="FFFFFF"/>
        <w:spacing w:before="0" w:beforeAutospacing="0" w:after="150" w:afterAutospacing="0" w:line="312" w:lineRule="atLeast"/>
        <w:rPr>
          <w:rFonts w:ascii="Tahoma" w:hAnsi="Tahoma" w:cs="Tahoma"/>
          <w:color w:val="211E1F"/>
          <w:sz w:val="21"/>
          <w:szCs w:val="21"/>
        </w:rPr>
      </w:pPr>
      <w:r>
        <w:rPr>
          <w:rFonts w:ascii="Tahoma" w:hAnsi="Tahoma" w:cs="Tahoma"/>
          <w:color w:val="211E1F"/>
          <w:sz w:val="21"/>
          <w:szCs w:val="21"/>
        </w:rPr>
        <w:t>Climate Change Report preparation</w:t>
      </w:r>
    </w:p>
    <w:p w:rsidR="00613EBC" w:rsidRDefault="00613EBC" w:rsidP="00613EBC">
      <w:pPr>
        <w:pStyle w:val="NormalWeb"/>
        <w:shd w:val="clear" w:color="auto" w:fill="FFFFFF"/>
        <w:spacing w:before="0" w:beforeAutospacing="0" w:after="150" w:afterAutospacing="0" w:line="312" w:lineRule="atLeast"/>
        <w:ind w:left="360"/>
        <w:rPr>
          <w:rFonts w:ascii="Tahoma" w:hAnsi="Tahoma" w:cs="Tahoma"/>
          <w:color w:val="211E1F"/>
          <w:sz w:val="21"/>
          <w:szCs w:val="21"/>
        </w:rPr>
      </w:pPr>
      <w:r>
        <w:rPr>
          <w:rFonts w:ascii="Tahoma" w:hAnsi="Tahoma" w:cs="Tahoma"/>
          <w:color w:val="211E1F"/>
          <w:sz w:val="21"/>
          <w:szCs w:val="21"/>
        </w:rPr>
        <w:t> </w:t>
      </w:r>
    </w:p>
    <w:p w:rsidR="00613EBC" w:rsidRDefault="00613EBC" w:rsidP="00613EBC">
      <w:pPr>
        <w:numPr>
          <w:ilvl w:val="0"/>
          <w:numId w:val="5"/>
        </w:numPr>
        <w:shd w:val="clear" w:color="auto" w:fill="FFFFFF"/>
        <w:spacing w:after="0" w:line="312" w:lineRule="atLeast"/>
        <w:ind w:left="30"/>
        <w:rPr>
          <w:rFonts w:ascii="Tahoma" w:hAnsi="Tahoma" w:cs="Tahoma"/>
          <w:color w:val="211E1F"/>
          <w:sz w:val="21"/>
          <w:szCs w:val="21"/>
        </w:rPr>
      </w:pPr>
      <w:r>
        <w:rPr>
          <w:rStyle w:val="lev"/>
          <w:rFonts w:ascii="Tahoma" w:hAnsi="Tahoma" w:cs="Tahoma"/>
          <w:color w:val="211E1F"/>
          <w:sz w:val="21"/>
          <w:szCs w:val="21"/>
        </w:rPr>
        <w:t>Best practices</w:t>
      </w:r>
    </w:p>
    <w:p w:rsidR="00613EBC" w:rsidRDefault="00613EBC" w:rsidP="00613EBC">
      <w:pPr>
        <w:pStyle w:val="NormalWeb"/>
        <w:shd w:val="clear" w:color="auto" w:fill="FFFFFF"/>
        <w:spacing w:before="0" w:beforeAutospacing="0" w:after="0" w:afterAutospacing="0" w:line="312" w:lineRule="atLeast"/>
        <w:rPr>
          <w:rFonts w:ascii="Tahoma" w:hAnsi="Tahoma" w:cs="Tahoma"/>
          <w:color w:val="211E1F"/>
          <w:sz w:val="21"/>
          <w:szCs w:val="21"/>
        </w:rPr>
      </w:pPr>
      <w:r>
        <w:rPr>
          <w:rStyle w:val="lev"/>
          <w:rFonts w:ascii="Tahoma" w:hAnsi="Tahoma" w:cs="Tahoma"/>
          <w:color w:val="211E1F"/>
          <w:sz w:val="21"/>
          <w:szCs w:val="21"/>
        </w:rPr>
        <w:t>Affiliations </w:t>
      </w:r>
      <w:r>
        <w:rPr>
          <w:rFonts w:ascii="Tahoma" w:hAnsi="Tahoma" w:cs="Tahoma"/>
          <w:color w:val="211E1F"/>
          <w:sz w:val="21"/>
          <w:szCs w:val="21"/>
        </w:rPr>
        <w:t>AICESIS</w:t>
      </w:r>
    </w:p>
    <w:p w:rsidR="00613EBC" w:rsidRDefault="00613EBC" w:rsidP="00613EBC">
      <w:pPr>
        <w:numPr>
          <w:ilvl w:val="0"/>
          <w:numId w:val="6"/>
        </w:numPr>
        <w:shd w:val="clear" w:color="auto" w:fill="FFFFFF"/>
        <w:spacing w:after="0" w:line="240" w:lineRule="auto"/>
        <w:ind w:left="0"/>
        <w:rPr>
          <w:rFonts w:ascii="Tahoma" w:hAnsi="Tahoma" w:cs="Tahoma"/>
          <w:color w:val="211E1F"/>
          <w:sz w:val="21"/>
          <w:szCs w:val="21"/>
        </w:rPr>
      </w:pPr>
      <w:hyperlink r:id="rId7" w:history="1">
        <w:r>
          <w:rPr>
            <w:rStyle w:val="Lienhypertexte"/>
            <w:rFonts w:ascii="Tahoma" w:hAnsi="Tahoma" w:cs="Tahoma"/>
            <w:color w:val="1B75BB"/>
            <w:sz w:val="21"/>
            <w:szCs w:val="21"/>
          </w:rPr>
          <w:t>Note on Social Dialogue (January 2014)</w:t>
        </w:r>
      </w:hyperlink>
      <w:r>
        <w:rPr>
          <w:rFonts w:ascii="Tahoma" w:hAnsi="Tahoma" w:cs="Tahoma"/>
          <w:color w:val="211E1F"/>
          <w:sz w:val="21"/>
          <w:szCs w:val="21"/>
        </w:rPr>
        <w:t> (412.55 Kb) </w:t>
      </w:r>
      <w:hyperlink r:id="rId8" w:history="1">
        <w:r>
          <w:rPr>
            <w:rStyle w:val="Lienhypertexte"/>
            <w:rFonts w:ascii="Tahoma" w:hAnsi="Tahoma" w:cs="Tahoma"/>
            <w:color w:val="1B75BB"/>
            <w:sz w:val="21"/>
            <w:szCs w:val="21"/>
          </w:rPr>
          <w:t>Télécharger</w:t>
        </w:r>
      </w:hyperlink>
    </w:p>
    <w:p w:rsidR="00613EBC" w:rsidRDefault="00613EBC" w:rsidP="00613EBC">
      <w:pPr>
        <w:pStyle w:val="Titre4"/>
        <w:shd w:val="clear" w:color="auto" w:fill="FFFFFF"/>
        <w:spacing w:before="300" w:after="225"/>
        <w:rPr>
          <w:rFonts w:ascii="Tahoma" w:hAnsi="Tahoma" w:cs="Tahoma"/>
          <w:color w:val="252525"/>
          <w:sz w:val="24"/>
          <w:szCs w:val="24"/>
        </w:rPr>
      </w:pPr>
      <w:r>
        <w:rPr>
          <w:rFonts w:ascii="Tahoma" w:hAnsi="Tahoma" w:cs="Tahoma"/>
          <w:color w:val="252525"/>
        </w:rPr>
        <w:t>Contacts</w:t>
      </w:r>
    </w:p>
    <w:p w:rsidR="00613EBC" w:rsidRDefault="00613EBC" w:rsidP="00613EBC">
      <w:pPr>
        <w:pStyle w:val="icophone"/>
        <w:shd w:val="clear" w:color="auto" w:fill="FFFFFF"/>
        <w:spacing w:before="105" w:beforeAutospacing="0" w:after="150" w:afterAutospacing="0"/>
        <w:rPr>
          <w:rFonts w:ascii="Tahoma" w:hAnsi="Tahoma" w:cs="Tahoma"/>
          <w:color w:val="211E1F"/>
          <w:sz w:val="21"/>
          <w:szCs w:val="21"/>
        </w:rPr>
      </w:pPr>
      <w:r>
        <w:rPr>
          <w:rFonts w:ascii="Tahoma" w:hAnsi="Tahoma" w:cs="Tahoma"/>
          <w:color w:val="211E1F"/>
          <w:sz w:val="21"/>
          <w:szCs w:val="21"/>
        </w:rPr>
        <w:t>(353-1) 814-63-00 / (353-1) 814-63-32</w:t>
      </w:r>
    </w:p>
    <w:p w:rsidR="00613EBC" w:rsidRDefault="00613EBC" w:rsidP="00613EBC">
      <w:pPr>
        <w:pStyle w:val="icofax"/>
        <w:shd w:val="clear" w:color="auto" w:fill="FFFFFF"/>
        <w:spacing w:before="105" w:beforeAutospacing="0" w:after="150" w:afterAutospacing="0"/>
        <w:rPr>
          <w:rFonts w:ascii="Tahoma" w:hAnsi="Tahoma" w:cs="Tahoma"/>
          <w:color w:val="211E1F"/>
          <w:sz w:val="21"/>
          <w:szCs w:val="21"/>
        </w:rPr>
      </w:pPr>
      <w:r>
        <w:rPr>
          <w:rFonts w:ascii="Tahoma" w:hAnsi="Tahoma" w:cs="Tahoma"/>
          <w:color w:val="211E1F"/>
          <w:sz w:val="21"/>
          <w:szCs w:val="21"/>
        </w:rPr>
        <w:t>(353-1) 814-63-01 or 58</w:t>
      </w:r>
    </w:p>
    <w:p w:rsidR="00613EBC" w:rsidRDefault="00613EBC" w:rsidP="00613EBC">
      <w:pPr>
        <w:pStyle w:val="icoemail"/>
        <w:shd w:val="clear" w:color="auto" w:fill="FFFFFF"/>
        <w:spacing w:before="0" w:beforeAutospacing="0" w:after="0" w:afterAutospacing="0"/>
        <w:rPr>
          <w:rFonts w:ascii="Tahoma" w:hAnsi="Tahoma" w:cs="Tahoma"/>
          <w:color w:val="211E1F"/>
          <w:sz w:val="21"/>
          <w:szCs w:val="21"/>
        </w:rPr>
      </w:pPr>
      <w:hyperlink r:id="rId9" w:history="1">
        <w:r>
          <w:rPr>
            <w:rStyle w:val="Lienhypertexte"/>
            <w:rFonts w:ascii="Tahoma" w:hAnsi="Tahoma" w:cs="Tahoma"/>
            <w:color w:val="1B75BB"/>
            <w:sz w:val="21"/>
            <w:szCs w:val="21"/>
          </w:rPr>
          <w:t>info@nesc.ie / paula.hennelly@nesc.ie</w:t>
        </w:r>
      </w:hyperlink>
    </w:p>
    <w:p w:rsidR="00613EBC" w:rsidRDefault="00613EBC" w:rsidP="00613EBC">
      <w:pPr>
        <w:pStyle w:val="fz14"/>
        <w:shd w:val="clear" w:color="auto" w:fill="FFFFFF"/>
        <w:spacing w:before="0" w:beforeAutospacing="0" w:after="0" w:afterAutospacing="0"/>
        <w:rPr>
          <w:rFonts w:ascii="Tahoma" w:hAnsi="Tahoma" w:cs="Tahoma"/>
          <w:color w:val="211E1F"/>
          <w:sz w:val="21"/>
          <w:szCs w:val="21"/>
        </w:rPr>
      </w:pPr>
      <w:hyperlink r:id="rId10" w:tgtFrame="_blank" w:history="1">
        <w:r>
          <w:rPr>
            <w:rStyle w:val="Lienhypertexte"/>
            <w:rFonts w:ascii="Tahoma" w:hAnsi="Tahoma" w:cs="Tahoma"/>
            <w:color w:val="1B75BB"/>
            <w:sz w:val="21"/>
            <w:szCs w:val="21"/>
          </w:rPr>
          <w:t>www.nesc.ie</w:t>
        </w:r>
      </w:hyperlink>
    </w:p>
    <w:p w:rsidR="00613EBC" w:rsidRDefault="00613EBC" w:rsidP="00613EBC">
      <w:pPr>
        <w:pStyle w:val="icoaddress"/>
        <w:shd w:val="clear" w:color="auto" w:fill="FFFFFF"/>
        <w:spacing w:before="105" w:beforeAutospacing="0" w:after="150" w:afterAutospacing="0"/>
        <w:rPr>
          <w:rFonts w:ascii="Tahoma" w:hAnsi="Tahoma" w:cs="Tahoma"/>
          <w:color w:val="211E1F"/>
          <w:sz w:val="21"/>
          <w:szCs w:val="21"/>
        </w:rPr>
      </w:pPr>
      <w:r>
        <w:rPr>
          <w:rFonts w:ascii="Tahoma" w:hAnsi="Tahoma" w:cs="Tahoma"/>
          <w:color w:val="211E1F"/>
          <w:sz w:val="21"/>
          <w:szCs w:val="21"/>
        </w:rPr>
        <w:t>16, Parnell Square – DUBLIN 1 (IRELAND)</w:t>
      </w:r>
    </w:p>
    <w:p w:rsidR="00CB4F63" w:rsidRPr="00613EBC" w:rsidRDefault="00613EBC" w:rsidP="00613EBC">
      <w:bookmarkStart w:id="0" w:name="_GoBack"/>
      <w:bookmarkEnd w:id="0"/>
    </w:p>
    <w:sectPr w:rsidR="00CB4F63" w:rsidRPr="00613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E2FD5"/>
    <w:multiLevelType w:val="multilevel"/>
    <w:tmpl w:val="511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845D5"/>
    <w:multiLevelType w:val="multilevel"/>
    <w:tmpl w:val="A2D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A4685"/>
    <w:multiLevelType w:val="multilevel"/>
    <w:tmpl w:val="430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65CC5"/>
    <w:multiLevelType w:val="multilevel"/>
    <w:tmpl w:val="9A90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F2762"/>
    <w:multiLevelType w:val="multilevel"/>
    <w:tmpl w:val="462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4130C"/>
    <w:multiLevelType w:val="multilevel"/>
    <w:tmpl w:val="B36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C"/>
    <w:rsid w:val="00570244"/>
    <w:rsid w:val="00613EBC"/>
    <w:rsid w:val="00A44982"/>
    <w:rsid w:val="00B0613C"/>
    <w:rsid w:val="00EE2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1E41-8BD3-4788-8970-5D8EF589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E23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613E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239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E2398"/>
    <w:rPr>
      <w:color w:val="0000FF"/>
      <w:u w:val="single"/>
    </w:rPr>
  </w:style>
  <w:style w:type="character" w:customStyle="1" w:styleId="Titre4Car">
    <w:name w:val="Titre 4 Car"/>
    <w:basedOn w:val="Policepardfaut"/>
    <w:link w:val="Titre4"/>
    <w:uiPriority w:val="9"/>
    <w:semiHidden/>
    <w:rsid w:val="00613EB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13E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613E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613EBC"/>
  </w:style>
  <w:style w:type="character" w:styleId="lev">
    <w:name w:val="Strong"/>
    <w:basedOn w:val="Policepardfaut"/>
    <w:uiPriority w:val="22"/>
    <w:qFormat/>
    <w:rsid w:val="00613EBC"/>
    <w:rPr>
      <w:b/>
      <w:bCs/>
    </w:rPr>
  </w:style>
  <w:style w:type="paragraph" w:customStyle="1" w:styleId="icophone">
    <w:name w:val="ico_phone"/>
    <w:basedOn w:val="Normal"/>
    <w:rsid w:val="00613E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613E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613E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613E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613E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1577">
      <w:bodyDiv w:val="1"/>
      <w:marLeft w:val="0"/>
      <w:marRight w:val="0"/>
      <w:marTop w:val="0"/>
      <w:marBottom w:val="0"/>
      <w:divBdr>
        <w:top w:val="none" w:sz="0" w:space="0" w:color="auto"/>
        <w:left w:val="none" w:sz="0" w:space="0" w:color="auto"/>
        <w:bottom w:val="none" w:sz="0" w:space="0" w:color="auto"/>
        <w:right w:val="none" w:sz="0" w:space="0" w:color="auto"/>
      </w:divBdr>
    </w:div>
    <w:div w:id="723214721">
      <w:bodyDiv w:val="1"/>
      <w:marLeft w:val="0"/>
      <w:marRight w:val="0"/>
      <w:marTop w:val="0"/>
      <w:marBottom w:val="0"/>
      <w:divBdr>
        <w:top w:val="none" w:sz="0" w:space="0" w:color="auto"/>
        <w:left w:val="none" w:sz="0" w:space="0" w:color="auto"/>
        <w:bottom w:val="none" w:sz="0" w:space="0" w:color="auto"/>
        <w:right w:val="none" w:sz="0" w:space="0" w:color="auto"/>
      </w:divBdr>
      <w:divsChild>
        <w:div w:id="1416590453">
          <w:marLeft w:val="150"/>
          <w:marRight w:val="150"/>
          <w:marTop w:val="150"/>
          <w:marBottom w:val="150"/>
          <w:divBdr>
            <w:top w:val="none" w:sz="0" w:space="0" w:color="auto"/>
            <w:left w:val="none" w:sz="0" w:space="0" w:color="auto"/>
            <w:bottom w:val="none" w:sz="0" w:space="0" w:color="auto"/>
            <w:right w:val="none" w:sz="0" w:space="0" w:color="auto"/>
          </w:divBdr>
          <w:divsChild>
            <w:div w:id="1531802087">
              <w:marLeft w:val="0"/>
              <w:marRight w:val="0"/>
              <w:marTop w:val="0"/>
              <w:marBottom w:val="0"/>
              <w:divBdr>
                <w:top w:val="single" w:sz="6" w:space="4" w:color="F0F0F0"/>
                <w:left w:val="single" w:sz="6" w:space="4" w:color="F0F0F0"/>
                <w:bottom w:val="single" w:sz="6" w:space="4" w:color="F0F0F0"/>
                <w:right w:val="single" w:sz="6" w:space="4" w:color="F0F0F0"/>
              </w:divBdr>
            </w:div>
            <w:div w:id="1453671111">
              <w:marLeft w:val="0"/>
              <w:marRight w:val="0"/>
              <w:marTop w:val="225"/>
              <w:marBottom w:val="150"/>
              <w:divBdr>
                <w:top w:val="none" w:sz="0" w:space="0" w:color="auto"/>
                <w:left w:val="none" w:sz="0" w:space="0" w:color="auto"/>
                <w:bottom w:val="none" w:sz="0" w:space="0" w:color="auto"/>
                <w:right w:val="none" w:sz="0" w:space="0" w:color="auto"/>
              </w:divBdr>
            </w:div>
            <w:div w:id="1855536972">
              <w:marLeft w:val="0"/>
              <w:marRight w:val="0"/>
              <w:marTop w:val="225"/>
              <w:marBottom w:val="150"/>
              <w:divBdr>
                <w:top w:val="none" w:sz="0" w:space="0" w:color="auto"/>
                <w:left w:val="none" w:sz="0" w:space="0" w:color="auto"/>
                <w:bottom w:val="none" w:sz="0" w:space="0" w:color="auto"/>
                <w:right w:val="none" w:sz="0" w:space="0" w:color="auto"/>
              </w:divBdr>
            </w:div>
          </w:divsChild>
        </w:div>
        <w:div w:id="278032526">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esis.org/files/organizations/51/140116_AICESIS_Social_Dialogue_in_IRELAND.docx" TargetMode="External"/><Relationship Id="rId3" Type="http://schemas.openxmlformats.org/officeDocument/2006/relationships/settings" Target="settings.xml"/><Relationship Id="rId7" Type="http://schemas.openxmlformats.org/officeDocument/2006/relationships/hyperlink" Target="http://www.aicesis.org/files/organizations/51/140116_AICESIS_Social_Dialogue_in_IRELAND.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esc.ie/" TargetMode="External"/><Relationship Id="rId4" Type="http://schemas.openxmlformats.org/officeDocument/2006/relationships/webSettings" Target="webSettings.xml"/><Relationship Id="rId9" Type="http://schemas.openxmlformats.org/officeDocument/2006/relationships/hyperlink" Target="mailto:info@nesc.ie%20/%20paula.hennelly@nesc.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2755</Characters>
  <Application>Microsoft Office Word</Application>
  <DocSecurity>0</DocSecurity>
  <Lines>22</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3</cp:revision>
  <dcterms:created xsi:type="dcterms:W3CDTF">2019-09-04T15:08:00Z</dcterms:created>
  <dcterms:modified xsi:type="dcterms:W3CDTF">2019-09-04T15:09:00Z</dcterms:modified>
</cp:coreProperties>
</file>